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80" w:before="180" w:line="360" w:lineRule="auto"/>
        <w:rPr>
          <w:b w:val="1"/>
          <w:color w:val="2d3b45"/>
          <w:sz w:val="24"/>
          <w:szCs w:val="24"/>
        </w:rPr>
      </w:pPr>
      <w:r w:rsidDel="00000000" w:rsidR="00000000" w:rsidRPr="00000000">
        <w:rPr>
          <w:b w:val="1"/>
          <w:color w:val="2d3b45"/>
          <w:sz w:val="24"/>
          <w:szCs w:val="24"/>
          <w:rtl w:val="0"/>
        </w:rPr>
        <w:t xml:space="preserve">TCNJ FYS Learning Goals (2024)</w:t>
      </w:r>
    </w:p>
    <w:p w:rsidR="00000000" w:rsidDel="00000000" w:rsidP="00000000" w:rsidRDefault="00000000" w:rsidRPr="00000000" w14:paraId="00000002">
      <w:pPr>
        <w:shd w:fill="ffffff" w:val="clear"/>
        <w:spacing w:after="180" w:before="180" w:line="360" w:lineRule="auto"/>
        <w:rPr>
          <w:color w:val="2d3b45"/>
          <w:sz w:val="24"/>
          <w:szCs w:val="24"/>
        </w:rPr>
      </w:pPr>
      <w:r w:rsidDel="00000000" w:rsidR="00000000" w:rsidRPr="00000000">
        <w:rPr>
          <w:color w:val="2d3b45"/>
          <w:sz w:val="24"/>
          <w:szCs w:val="24"/>
          <w:rtl w:val="0"/>
        </w:rPr>
        <w:t xml:space="preserve">By the end of this course, students should be able to: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before="180" w:line="360" w:lineRule="auto"/>
        <w:ind w:left="720" w:hanging="360"/>
        <w:rPr>
          <w:color w:val="2d3b45"/>
          <w:sz w:val="24"/>
          <w:szCs w:val="24"/>
          <w:u w:val="none"/>
        </w:rPr>
      </w:pPr>
      <w:r w:rsidDel="00000000" w:rsidR="00000000" w:rsidRPr="00000000">
        <w:rPr>
          <w:color w:val="2d3b45"/>
          <w:sz w:val="24"/>
          <w:szCs w:val="24"/>
          <w:rtl w:val="0"/>
        </w:rPr>
        <w:t xml:space="preserve">Write rhetorically effective and well-structured arguments for a specific audience for a specific purpose. Clearly articulate thesis statements that coherently connect the paper from the introduction through the conclusion.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color w:val="2d3b45"/>
          <w:sz w:val="24"/>
          <w:szCs w:val="24"/>
          <w:u w:val="none"/>
        </w:rPr>
      </w:pPr>
      <w:r w:rsidDel="00000000" w:rsidR="00000000" w:rsidRPr="00000000">
        <w:rPr>
          <w:color w:val="2d3b45"/>
          <w:sz w:val="24"/>
          <w:szCs w:val="24"/>
          <w:rtl w:val="0"/>
        </w:rPr>
        <w:t xml:space="preserve">Locate, evaluate, and use reliable information to engage in college-level coursework.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color w:val="2d3b45"/>
          <w:sz w:val="24"/>
          <w:szCs w:val="24"/>
          <w:u w:val="none"/>
        </w:rPr>
      </w:pPr>
      <w:r w:rsidDel="00000000" w:rsidR="00000000" w:rsidRPr="00000000">
        <w:rPr>
          <w:color w:val="2d3b45"/>
          <w:sz w:val="24"/>
          <w:szCs w:val="24"/>
          <w:rtl w:val="0"/>
        </w:rPr>
        <w:t xml:space="preserve">Respectfully offer tactful and productive feedback to others on their written and oral arguments.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color w:val="2d3b45"/>
          <w:sz w:val="24"/>
          <w:szCs w:val="24"/>
          <w:u w:val="none"/>
        </w:rPr>
      </w:pPr>
      <w:r w:rsidDel="00000000" w:rsidR="00000000" w:rsidRPr="00000000">
        <w:rPr>
          <w:color w:val="2d3b45"/>
          <w:sz w:val="24"/>
          <w:szCs w:val="24"/>
          <w:rtl w:val="0"/>
        </w:rPr>
        <w:t xml:space="preserve">Receive constructive feedback on oral and written arguments and revise accordingly.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180" w:before="0" w:beforeAutospacing="0" w:line="360" w:lineRule="auto"/>
        <w:ind w:left="720" w:hanging="360"/>
        <w:rPr>
          <w:color w:val="2d3b45"/>
          <w:sz w:val="24"/>
          <w:szCs w:val="24"/>
          <w:u w:val="none"/>
        </w:rPr>
      </w:pPr>
      <w:r w:rsidDel="00000000" w:rsidR="00000000" w:rsidRPr="00000000">
        <w:rPr>
          <w:color w:val="2d3b45"/>
          <w:sz w:val="24"/>
          <w:szCs w:val="24"/>
          <w:rtl w:val="0"/>
        </w:rPr>
        <w:t xml:space="preserve">Demonstrate developing critical thinking skills by integrating in-depth knowledge to interrogate issues or events; develop conclusions and design solutions or ask new questions.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